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2C" w:rsidRPr="00C279E6" w:rsidRDefault="000A60FA" w:rsidP="00EA0D2C">
      <w:pPr>
        <w:spacing w:after="0"/>
        <w:jc w:val="center"/>
        <w:rPr>
          <w:rFonts w:ascii="Times New Roman" w:hAnsi="Times New Roman" w:cs="Times New Roman"/>
          <w:b/>
          <w:sz w:val="28"/>
          <w:szCs w:val="28"/>
        </w:rPr>
      </w:pPr>
      <w:r>
        <w:rPr>
          <w:rFonts w:ascii="Times New Roman" w:hAnsi="Times New Roman" w:cs="Times New Roman"/>
          <w:b/>
          <w:sz w:val="28"/>
          <w:szCs w:val="28"/>
        </w:rPr>
        <w:t>3.5. СИСТЕМА РЕАЛИЗАЦИИ ООП О</w:t>
      </w:r>
      <w:r w:rsidR="00EA0D2C" w:rsidRPr="00C279E6">
        <w:rPr>
          <w:rFonts w:ascii="Times New Roman" w:hAnsi="Times New Roman" w:cs="Times New Roman"/>
          <w:b/>
          <w:sz w:val="28"/>
          <w:szCs w:val="28"/>
        </w:rPr>
        <w:t>ОО</w:t>
      </w:r>
    </w:p>
    <w:p w:rsidR="00EA0D2C" w:rsidRDefault="00EA0D2C" w:rsidP="00D504EC">
      <w:pPr>
        <w:pStyle w:val="a3"/>
        <w:ind w:left="0" w:right="0" w:firstLine="709"/>
        <w:contextualSpacing/>
        <w:rPr>
          <w:color w:val="231F20"/>
          <w:w w:val="115"/>
          <w:sz w:val="24"/>
          <w:szCs w:val="24"/>
        </w:rPr>
      </w:pP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 xml:space="preserve">Система условий реализации программы основного общего образования, созданная в </w:t>
      </w:r>
      <w:proofErr w:type="gramStart"/>
      <w:r w:rsidRPr="00573DA9">
        <w:rPr>
          <w:rFonts w:ascii="Times New Roman" w:hAnsi="Times New Roman" w:cs="Times New Roman"/>
          <w:i/>
          <w:sz w:val="24"/>
          <w:szCs w:val="24"/>
        </w:rPr>
        <w:t>образовательной организации</w:t>
      </w:r>
      <w:proofErr w:type="gramEnd"/>
      <w:r w:rsidRPr="00573DA9">
        <w:rPr>
          <w:rFonts w:ascii="Times New Roman" w:hAnsi="Times New Roman" w:cs="Times New Roman"/>
          <w:i/>
          <w:sz w:val="24"/>
          <w:szCs w:val="24"/>
        </w:rPr>
        <w:t xml:space="preserve"> соответствует требованиям ФГОС ООО и направлена на: </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достижение планируемых результатов освоения программы основного общего образования,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xml:space="preserve">. адаптированной, обучающимися,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обучающимися с ОВЗ;</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развитие личности, ее способностей, удовлетворения образовательных потребностей и интересов, самореализации обучающихся,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573DA9">
        <w:rPr>
          <w:rFonts w:ascii="Times New Roman" w:hAnsi="Times New Roman" w:cs="Times New Roman"/>
          <w:sz w:val="24"/>
          <w:szCs w:val="24"/>
        </w:rPr>
        <w:t>метапредметных</w:t>
      </w:r>
      <w:proofErr w:type="spellEnd"/>
      <w:r w:rsidRPr="00573DA9">
        <w:rPr>
          <w:rFonts w:ascii="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в качестве волонтеров;</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использование в образовательной деятельности современных образовательных технологий, направленных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на воспитание обучающихся и развитие различных форм наставничества;</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573DA9" w:rsidRPr="00573DA9" w:rsidRDefault="00573DA9" w:rsidP="00573DA9">
      <w:pPr>
        <w:spacing w:after="0"/>
        <w:ind w:left="-709" w:firstLine="709"/>
        <w:jc w:val="both"/>
        <w:rPr>
          <w:rFonts w:ascii="Times New Roman" w:hAnsi="Times New Roman" w:cs="Times New Roman"/>
          <w:sz w:val="24"/>
          <w:szCs w:val="24"/>
        </w:rPr>
      </w:pPr>
    </w:p>
    <w:p w:rsidR="00573DA9" w:rsidRPr="00573DA9" w:rsidRDefault="00573DA9" w:rsidP="00573DA9">
      <w:pPr>
        <w:spacing w:after="0"/>
        <w:ind w:left="-709" w:firstLine="709"/>
        <w:rPr>
          <w:rFonts w:ascii="Times New Roman" w:hAnsi="Times New Roman" w:cs="Times New Roman"/>
          <w:color w:val="FF0000"/>
          <w:sz w:val="24"/>
          <w:szCs w:val="24"/>
        </w:rPr>
      </w:pPr>
      <w:r w:rsidRPr="00573DA9">
        <w:rPr>
          <w:rFonts w:ascii="Times New Roman" w:hAnsi="Times New Roman" w:cs="Times New Roman"/>
          <w:b/>
          <w:sz w:val="24"/>
          <w:szCs w:val="24"/>
        </w:rPr>
        <w:lastRenderedPageBreak/>
        <w:t>3.5.1. Кадровые условия реализации Программы</w:t>
      </w:r>
    </w:p>
    <w:p w:rsidR="00573DA9" w:rsidRPr="00573DA9" w:rsidRDefault="00573DA9" w:rsidP="00573DA9">
      <w:pPr>
        <w:spacing w:after="0"/>
        <w:ind w:left="-709" w:firstLine="709"/>
        <w:jc w:val="both"/>
        <w:rPr>
          <w:rFonts w:ascii="Times New Roman" w:hAnsi="Times New Roman" w:cs="Times New Roman"/>
          <w:b/>
          <w:i/>
          <w:sz w:val="24"/>
          <w:szCs w:val="24"/>
        </w:rPr>
      </w:pPr>
      <w:r w:rsidRPr="00573DA9">
        <w:rPr>
          <w:rFonts w:ascii="Times New Roman" w:hAnsi="Times New Roman"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b/>
          <w:i/>
          <w:sz w:val="24"/>
          <w:szCs w:val="24"/>
        </w:rPr>
        <w:t>Обеспеченность кадровыми условиями включает в себя:</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укомплектованность образовательной организации педагогическими, руководящими и иными работниками;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573DA9" w:rsidRPr="00573DA9" w:rsidRDefault="00573DA9" w:rsidP="00573DA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573DA9" w:rsidRPr="00573DA9" w:rsidRDefault="00573DA9" w:rsidP="00573DA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w:t>
      </w:r>
      <w:r w:rsidRPr="00573DA9">
        <w:rPr>
          <w:rFonts w:ascii="Times New Roman" w:hAnsi="Times New Roman" w:cs="Times New Roman"/>
          <w:sz w:val="24"/>
          <w:szCs w:val="24"/>
        </w:rPr>
        <w:lastRenderedPageBreak/>
        <w:t xml:space="preserve">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573DA9" w:rsidRPr="00573DA9" w:rsidRDefault="00573DA9" w:rsidP="00573DA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Style w:val="a6"/>
        <w:tblW w:w="9210" w:type="dxa"/>
        <w:tblInd w:w="-147" w:type="dxa"/>
        <w:tblLayout w:type="fixed"/>
        <w:tblLook w:val="04A0" w:firstRow="1" w:lastRow="0" w:firstColumn="1" w:lastColumn="0" w:noHBand="0" w:noVBand="1"/>
      </w:tblPr>
      <w:tblGrid>
        <w:gridCol w:w="2069"/>
        <w:gridCol w:w="2749"/>
        <w:gridCol w:w="1984"/>
        <w:gridCol w:w="2408"/>
      </w:tblGrid>
      <w:tr w:rsidR="00573DA9" w:rsidTr="00573DA9">
        <w:tc>
          <w:tcPr>
            <w:tcW w:w="2070" w:type="dxa"/>
            <w:vMerge w:val="restart"/>
            <w:tcBorders>
              <w:top w:val="single" w:sz="4" w:space="0" w:color="auto"/>
              <w:left w:val="single" w:sz="4" w:space="0" w:color="auto"/>
              <w:bottom w:val="single" w:sz="4" w:space="0" w:color="auto"/>
              <w:right w:val="single" w:sz="4" w:space="0" w:color="auto"/>
            </w:tcBorders>
          </w:tcPr>
          <w:p w:rsidR="00573DA9" w:rsidRDefault="00573DA9">
            <w:pPr>
              <w:pStyle w:val="a7"/>
              <w:ind w:left="0" w:firstLine="709"/>
              <w:jc w:val="center"/>
              <w:rPr>
                <w:rFonts w:ascii="Times New Roman" w:eastAsiaTheme="minorHAnsi" w:hAnsi="Times New Roman" w:cs="Times New Roman"/>
                <w:b/>
                <w:sz w:val="24"/>
                <w:szCs w:val="24"/>
              </w:rPr>
            </w:pPr>
          </w:p>
          <w:p w:rsidR="00573DA9" w:rsidRDefault="00573DA9">
            <w:pPr>
              <w:pStyle w:val="a7"/>
              <w:ind w:left="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Категория работников</w:t>
            </w:r>
          </w:p>
        </w:tc>
        <w:tc>
          <w:tcPr>
            <w:tcW w:w="2750" w:type="dxa"/>
            <w:vMerge w:val="restart"/>
            <w:tcBorders>
              <w:top w:val="single" w:sz="4" w:space="0" w:color="auto"/>
              <w:left w:val="single" w:sz="4" w:space="0" w:color="auto"/>
              <w:bottom w:val="single" w:sz="4" w:space="0" w:color="auto"/>
              <w:right w:val="single" w:sz="4" w:space="0" w:color="auto"/>
            </w:tcBorders>
            <w:hideMark/>
          </w:tcPr>
          <w:p w:rsidR="00573DA9" w:rsidRDefault="00573DA9">
            <w:pPr>
              <w:pStyle w:val="a7"/>
              <w:ind w:left="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Подтверждение уровня</w:t>
            </w:r>
          </w:p>
          <w:p w:rsidR="00573DA9" w:rsidRDefault="00573DA9">
            <w:pPr>
              <w:pStyle w:val="a7"/>
              <w:ind w:left="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квалификации документами об образовании (переподготовке) (%)</w:t>
            </w:r>
          </w:p>
        </w:tc>
        <w:tc>
          <w:tcPr>
            <w:tcW w:w="4394" w:type="dxa"/>
            <w:gridSpan w:val="2"/>
            <w:tcBorders>
              <w:top w:val="single" w:sz="4" w:space="0" w:color="auto"/>
              <w:left w:val="single" w:sz="4" w:space="0" w:color="auto"/>
              <w:bottom w:val="single" w:sz="4" w:space="0" w:color="auto"/>
              <w:right w:val="single" w:sz="4" w:space="0" w:color="auto"/>
            </w:tcBorders>
            <w:hideMark/>
          </w:tcPr>
          <w:p w:rsidR="00573DA9" w:rsidRDefault="00573DA9">
            <w:pPr>
              <w:pStyle w:val="a7"/>
              <w:ind w:left="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Подтверждение уровня квалификации результатами аттестации</w:t>
            </w:r>
          </w:p>
        </w:tc>
      </w:tr>
      <w:tr w:rsidR="00573DA9" w:rsidTr="00573DA9">
        <w:tc>
          <w:tcPr>
            <w:tcW w:w="2070" w:type="dxa"/>
            <w:vMerge/>
            <w:tcBorders>
              <w:top w:val="single" w:sz="4" w:space="0" w:color="auto"/>
              <w:left w:val="single" w:sz="4" w:space="0" w:color="auto"/>
              <w:bottom w:val="single" w:sz="4" w:space="0" w:color="auto"/>
              <w:right w:val="single" w:sz="4" w:space="0" w:color="auto"/>
            </w:tcBorders>
            <w:vAlign w:val="center"/>
            <w:hideMark/>
          </w:tcPr>
          <w:p w:rsidR="00573DA9" w:rsidRDefault="00573DA9">
            <w:pPr>
              <w:rPr>
                <w:rFonts w:ascii="Times New Roman" w:eastAsiaTheme="minorHAnsi" w:hAnsi="Times New Roman" w:cs="Times New Roman"/>
                <w:b/>
                <w:sz w:val="24"/>
                <w:szCs w:val="24"/>
                <w:lang w:eastAsia="en-US"/>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573DA9" w:rsidRDefault="00573DA9">
            <w:pPr>
              <w:rPr>
                <w:rFonts w:ascii="Times New Roman" w:eastAsiaTheme="minorHAns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Соответствие занимаемой должности (%)</w:t>
            </w:r>
          </w:p>
        </w:tc>
        <w:tc>
          <w:tcPr>
            <w:tcW w:w="2409"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квалификационная категория (%)</w:t>
            </w:r>
          </w:p>
        </w:tc>
      </w:tr>
      <w:tr w:rsidR="00573DA9" w:rsidTr="00573DA9">
        <w:tc>
          <w:tcPr>
            <w:tcW w:w="2070"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Педагогические работники</w:t>
            </w:r>
          </w:p>
        </w:tc>
        <w:tc>
          <w:tcPr>
            <w:tcW w:w="2750"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hanging="5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hideMark/>
          </w:tcPr>
          <w:p w:rsidR="00573DA9" w:rsidRDefault="00D06579">
            <w:pPr>
              <w:pStyle w:val="a7"/>
              <w:ind w:left="0" w:hanging="5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32</w:t>
            </w:r>
            <w:r w:rsidR="00573DA9">
              <w:rPr>
                <w:rFonts w:ascii="Times New Roman" w:eastAsiaTheme="minorHAnsi"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573DA9" w:rsidRDefault="00D06579">
            <w:pPr>
              <w:pStyle w:val="a7"/>
              <w:ind w:left="0" w:hanging="5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68</w:t>
            </w:r>
            <w:r w:rsidR="00573DA9">
              <w:rPr>
                <w:rFonts w:ascii="Times New Roman" w:eastAsiaTheme="minorHAnsi" w:hAnsi="Times New Roman" w:cs="Times New Roman"/>
                <w:sz w:val="24"/>
                <w:szCs w:val="24"/>
              </w:rPr>
              <w:t>%</w:t>
            </w:r>
          </w:p>
        </w:tc>
      </w:tr>
      <w:tr w:rsidR="00573DA9" w:rsidTr="00573DA9">
        <w:tc>
          <w:tcPr>
            <w:tcW w:w="2070"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Руководящие работники</w:t>
            </w:r>
          </w:p>
        </w:tc>
        <w:tc>
          <w:tcPr>
            <w:tcW w:w="2750"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hanging="5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hideMark/>
          </w:tcPr>
          <w:p w:rsidR="00573DA9" w:rsidRDefault="00573DA9">
            <w:pPr>
              <w:pStyle w:val="a7"/>
              <w:ind w:left="0" w:hanging="5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rsidR="00573DA9" w:rsidRDefault="00573DA9">
            <w:pPr>
              <w:pStyle w:val="a7"/>
              <w:ind w:left="0" w:hanging="54"/>
              <w:jc w:val="center"/>
              <w:rPr>
                <w:rFonts w:ascii="Times New Roman" w:eastAsiaTheme="minorHAnsi" w:hAnsi="Times New Roman" w:cs="Times New Roman"/>
                <w:sz w:val="24"/>
                <w:szCs w:val="24"/>
              </w:rPr>
            </w:pPr>
          </w:p>
        </w:tc>
      </w:tr>
    </w:tbl>
    <w:p w:rsidR="00573DA9" w:rsidRPr="00573DA9" w:rsidRDefault="00573DA9" w:rsidP="00573DA9">
      <w:pPr>
        <w:spacing w:after="0"/>
        <w:ind w:left="-709" w:firstLine="709"/>
        <w:rPr>
          <w:rFonts w:ascii="Times New Roman" w:hAnsi="Times New Roman" w:cs="Times New Roman"/>
          <w:sz w:val="24"/>
          <w:szCs w:val="24"/>
        </w:rPr>
      </w:pPr>
    </w:p>
    <w:p w:rsidR="00573DA9" w:rsidRPr="00573DA9" w:rsidRDefault="00573DA9" w:rsidP="00D06579">
      <w:pPr>
        <w:spacing w:after="0"/>
        <w:ind w:left="-709" w:firstLine="709"/>
        <w:jc w:val="both"/>
        <w:rPr>
          <w:rFonts w:ascii="Times New Roman" w:hAnsi="Times New Roman" w:cs="Times New Roman"/>
          <w:b/>
          <w:i/>
          <w:sz w:val="24"/>
          <w:szCs w:val="24"/>
        </w:rPr>
      </w:pPr>
      <w:r w:rsidRPr="00573DA9">
        <w:rPr>
          <w:rFonts w:ascii="Times New Roman" w:hAnsi="Times New Roman" w:cs="Times New Roman"/>
          <w:sz w:val="24"/>
          <w:szCs w:val="24"/>
        </w:rP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b/>
          <w:i/>
          <w:sz w:val="24"/>
          <w:szCs w:val="24"/>
        </w:rPr>
        <w:t>Профессиональное развитие и повышение квалификации педагогических работников.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При этом могут быть использованы различные образовательные организации, имеющие соответствующую лицензию.</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Ожидаемый результат повышения квалификации - профессиональная готовность работников образования к реализации ФГОС ООО:</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 ООО.</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lastRenderedPageBreak/>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573DA9" w:rsidRPr="00573DA9" w:rsidRDefault="00573DA9" w:rsidP="00573DA9">
      <w:pPr>
        <w:spacing w:after="0"/>
        <w:ind w:left="-709" w:firstLine="709"/>
        <w:rPr>
          <w:rFonts w:ascii="Times New Roman" w:hAnsi="Times New Roman" w:cs="Times New Roman"/>
          <w:color w:val="FF0000"/>
          <w:sz w:val="24"/>
          <w:szCs w:val="24"/>
        </w:rPr>
      </w:pPr>
      <w:r w:rsidRPr="00573DA9">
        <w:rPr>
          <w:rFonts w:ascii="Times New Roman" w:hAnsi="Times New Roman" w:cs="Times New Roman"/>
          <w:b/>
          <w:sz w:val="24"/>
          <w:szCs w:val="24"/>
        </w:rPr>
        <w:t>3.5.2. Психолого-педагогические условия реализации Программы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xml:space="preserve">- профилактику формирования у обучающихся </w:t>
      </w:r>
      <w:proofErr w:type="spellStart"/>
      <w:r w:rsidRPr="00573DA9">
        <w:rPr>
          <w:rFonts w:ascii="Times New Roman" w:hAnsi="Times New Roman" w:cs="Times New Roman"/>
          <w:sz w:val="24"/>
          <w:szCs w:val="24"/>
        </w:rPr>
        <w:t>девиантных</w:t>
      </w:r>
      <w:proofErr w:type="spellEnd"/>
      <w:r w:rsidRPr="00573DA9">
        <w:rPr>
          <w:rFonts w:ascii="Times New Roman" w:hAnsi="Times New Roman" w:cs="Times New Roman"/>
          <w:sz w:val="24"/>
          <w:szCs w:val="24"/>
        </w:rPr>
        <w:t xml:space="preserve"> форм поведения, агрессии и повышенной тревожности.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педагогом-психологом (указать количество при наличии);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учителем-логопедом (указать количество при наличии);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учителем-дефектологом (указать количество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w:t>
      </w:r>
      <w:proofErr w:type="spellStart"/>
      <w:r w:rsidRPr="00573DA9">
        <w:rPr>
          <w:rFonts w:ascii="Times New Roman" w:hAnsi="Times New Roman" w:cs="Times New Roman"/>
          <w:sz w:val="24"/>
          <w:szCs w:val="24"/>
        </w:rPr>
        <w:t>тьюторами</w:t>
      </w:r>
      <w:proofErr w:type="spellEnd"/>
      <w:r w:rsidRPr="00573DA9">
        <w:rPr>
          <w:rFonts w:ascii="Times New Roman" w:hAnsi="Times New Roman" w:cs="Times New Roman"/>
          <w:sz w:val="24"/>
          <w:szCs w:val="24"/>
        </w:rPr>
        <w:t xml:space="preserve"> (указать количество при наличии); </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социальным педагогом (указать количество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и развитие психолого-педагогической компетентности;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сохранение и укрепление психологического благополучия и психического здоровья обучающихся;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поддержка и сопровождение детско-родительских отношений;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ценности здоровья и безопасного образа жизни;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дифференциация и индивидуализация обучения и воспитания с учетом особенностей когнитивного и эмоционального развития обучающихся;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мониторинг возможностей и способностей обучающихся, выявление, поддержка и сопровождение одаренных детей, обучающихся с ОВЗ;</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создание условий для последующего профессионального самоопределения;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поддержка детских объединений, ученического самоуправления;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формирование психологической культуры поведения в информационной среде;</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развитие психологической культуры в области использования ИКТ;</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lastRenderedPageBreak/>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w:t>
      </w:r>
      <w:proofErr w:type="spellStart"/>
      <w:r w:rsidRPr="00573DA9">
        <w:rPr>
          <w:rFonts w:ascii="Times New Roman" w:hAnsi="Times New Roman" w:cs="Times New Roman"/>
          <w:i/>
          <w:sz w:val="24"/>
          <w:szCs w:val="24"/>
        </w:rPr>
        <w:t>т.ч</w:t>
      </w:r>
      <w:proofErr w:type="spellEnd"/>
      <w:r w:rsidRPr="00573DA9">
        <w:rPr>
          <w:rFonts w:ascii="Times New Roman" w:hAnsi="Times New Roman" w:cs="Times New Roman"/>
          <w:i/>
          <w:sz w:val="24"/>
          <w:szCs w:val="24"/>
        </w:rPr>
        <w:t>.:</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обучающихся, испытывающих трудности в освоении программы основного общего образования, развитии и социальной адаптации (указать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обучающихся, проявляющих индивидуальные способности, и одаренных (указать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обучающихся с ОВЗ (указать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родителей (законных представителей) несовершеннолетних обучающихся (указать при наличии).</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rsidR="00573DA9" w:rsidRPr="00573DA9" w:rsidRDefault="00573DA9" w:rsidP="00573DA9">
      <w:pPr>
        <w:spacing w:after="0"/>
        <w:ind w:left="-709" w:firstLine="709"/>
        <w:rPr>
          <w:rFonts w:ascii="Times New Roman" w:hAnsi="Times New Roman" w:cs="Times New Roman"/>
          <w:sz w:val="24"/>
          <w:szCs w:val="24"/>
        </w:rPr>
      </w:pPr>
    </w:p>
    <w:p w:rsidR="00573DA9" w:rsidRPr="00573DA9" w:rsidRDefault="00573DA9" w:rsidP="00573DA9">
      <w:pPr>
        <w:spacing w:after="0"/>
        <w:ind w:left="-709" w:firstLine="709"/>
        <w:rPr>
          <w:rFonts w:ascii="Times New Roman" w:hAnsi="Times New Roman" w:cs="Times New Roman"/>
          <w:color w:val="FF0000"/>
          <w:sz w:val="24"/>
          <w:szCs w:val="24"/>
        </w:rPr>
      </w:pPr>
      <w:r w:rsidRPr="00573DA9">
        <w:rPr>
          <w:rFonts w:ascii="Times New Roman" w:hAnsi="Times New Roman" w:cs="Times New Roman"/>
          <w:b/>
          <w:sz w:val="24"/>
          <w:szCs w:val="24"/>
        </w:rPr>
        <w:t>3.5.3. Финансово-экономические условия реализации Программы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xml:space="preserve">. </w:t>
      </w:r>
      <w:r w:rsidRPr="00573DA9">
        <w:rPr>
          <w:rFonts w:ascii="Times New Roman" w:hAnsi="Times New Roman" w:cs="Times New Roman"/>
          <w:sz w:val="24"/>
          <w:szCs w:val="24"/>
        </w:rPr>
        <w:lastRenderedPageBreak/>
        <w:t>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расходы на оплату труда работников, участвующих в разработке и реализации образовательной программы основного общего образования;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расходы на приобретение учебников и учебных пособий, средств обучения;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lastRenderedPageBreak/>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xml:space="preserve">. </w:t>
      </w:r>
      <w:proofErr w:type="spellStart"/>
      <w:r w:rsidRPr="00573DA9">
        <w:rPr>
          <w:rFonts w:ascii="Times New Roman" w:hAnsi="Times New Roman" w:cs="Times New Roman"/>
          <w:sz w:val="24"/>
          <w:szCs w:val="24"/>
        </w:rPr>
        <w:t>здоровьесберегающих</w:t>
      </w:r>
      <w:proofErr w:type="spellEnd"/>
      <w:r w:rsidRPr="00573DA9">
        <w:rPr>
          <w:rFonts w:ascii="Times New Roman" w:hAnsi="Times New Roman"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Образовательная организация самостоятельно определяет:</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соотношение базовой и стимулирующей части фонда оплаты труда;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соотношение общей и специальной частей внутри базовой части фонда оплаты труда;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w:t>
      </w:r>
      <w:r w:rsidRPr="00573DA9">
        <w:rPr>
          <w:rFonts w:ascii="Times New Roman" w:hAnsi="Times New Roman" w:cs="Times New Roman"/>
          <w:sz w:val="24"/>
          <w:szCs w:val="24"/>
        </w:rPr>
        <w:lastRenderedPageBreak/>
        <w:t xml:space="preserve">другими социальными партнерами, организующими внеурочную деятельность обучающихся, и отражает его в своих локальных нормативных актах.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Взаимодействие осуществляется: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73DA9" w:rsidRPr="00573DA9" w:rsidRDefault="00573DA9" w:rsidP="00573DA9">
      <w:pPr>
        <w:spacing w:after="0"/>
        <w:ind w:left="-709" w:firstLine="709"/>
        <w:rPr>
          <w:rFonts w:ascii="Times New Roman" w:hAnsi="Times New Roman" w:cs="Times New Roman"/>
          <w:sz w:val="24"/>
          <w:szCs w:val="24"/>
        </w:rPr>
      </w:pPr>
    </w:p>
    <w:p w:rsidR="00573DA9" w:rsidRPr="00573DA9" w:rsidRDefault="00573DA9" w:rsidP="00573DA9">
      <w:pPr>
        <w:spacing w:after="0"/>
        <w:ind w:left="-709" w:firstLine="709"/>
        <w:rPr>
          <w:rFonts w:ascii="Times New Roman" w:hAnsi="Times New Roman" w:cs="Times New Roman"/>
          <w:color w:val="FF0000"/>
          <w:sz w:val="24"/>
          <w:szCs w:val="24"/>
        </w:rPr>
      </w:pPr>
      <w:r w:rsidRPr="00573DA9">
        <w:rPr>
          <w:rFonts w:ascii="Times New Roman" w:hAnsi="Times New Roman" w:cs="Times New Roman"/>
          <w:b/>
          <w:sz w:val="24"/>
          <w:szCs w:val="24"/>
        </w:rPr>
        <w:t>3.5.4. Материально-техническое и учебно-методическое обеспечение Программы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b/>
          <w:i/>
          <w:sz w:val="24"/>
          <w:szCs w:val="24"/>
        </w:rPr>
        <w:t xml:space="preserve">Информационно-образовательная среда </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 xml:space="preserve">Основными компонентами ИОС образовательной организации являются: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фонд дополнительной литературы (художественная и научно-популярная литература, справочно-библиографические и периодические издания);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учебно-наглядные пособия (средства натурного фонда, модели, печатные, экранно-звуковые средства, мультимедийные средства);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информационно-образовательные ресурсы Интернета;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информационно-телекоммуникационная инфраструктура;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технические средства, обеспечивающие функционирование информационно-образовательной среды;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программные инструменты, обеспечивающие функционирование информационно-образовательной среды;</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служба технической поддержки функционирования информационно-образовательной среды.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 xml:space="preserve">ИОС образовательной организации предоставляет для участников образовательного процесса возможность: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достижения обучающимися планируемых результатов освоения ООП ООО,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адаптированной для обучающихся с ограниченными возможностями здоровья (ОВЗ);</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развития личности, удовлетворения познавательных интересов, самореализации обучающихся,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xml:space="preserve">.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w:t>
      </w:r>
      <w:r w:rsidRPr="00573DA9">
        <w:rPr>
          <w:rFonts w:ascii="Times New Roman" w:hAnsi="Times New Roman" w:cs="Times New Roman"/>
          <w:sz w:val="24"/>
          <w:szCs w:val="24"/>
        </w:rPr>
        <w:lastRenderedPageBreak/>
        <w:t>профессиональных образовательных организаций и социальных партнеров в профессионально-производственном окружении;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в качестве волонтеров;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формирования у обучающихся опыта самостоятельной образовательной и общественной деятельности;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формирования у обучающихся экологической грамотности, навыков здорового и безопасного для человека и окружающей его среды образа жизни;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использования в образовательной деятельности современных образовательных технологий, направленных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на воспитание обучающихся;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эффективного управления организацией с использованием ИКТ, современных механизмов финансирования.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Электронная информационно-образовательная среда организации обеспечивает:</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573DA9">
        <w:rPr>
          <w:rFonts w:ascii="Times New Roman" w:hAnsi="Times New Roman" w:cs="Times New Roman"/>
          <w:i/>
          <w:sz w:val="24"/>
          <w:szCs w:val="24"/>
        </w:rPr>
        <w:t>(указывается сайт (портал), где размещена соответствующая информация)</w:t>
      </w:r>
      <w:r w:rsidRPr="00573DA9">
        <w:rPr>
          <w:rFonts w:ascii="Times New Roman" w:hAnsi="Times New Roman" w:cs="Times New Roman"/>
          <w:sz w:val="24"/>
          <w:szCs w:val="24"/>
        </w:rPr>
        <w:t xml:space="preserve">;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формирование и хранение электронного портфолио обучающегося,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его работ и оценок за эти работы;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xml:space="preserve">- взаимодействие между участниками образовательного процесса,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синхронные и (или) асинхронные взаимодействия посредством Интернета.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 xml:space="preserve">Электронная информационно-образовательная среда позволяет обучающимся осуществить: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поиск и получение информации в локальной сети организации и Глобальной сети - Интернете в соответствии с учебной задачей;</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обработку информации для выступления с аудио-, видео- и графическим сопровождением;</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lastRenderedPageBreak/>
        <w:t>- размещение продуктов познавательной, исследовательской и творческой деятельности в сети образовательной организации и Интернете;</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выпуск школьных печатных изданий, радиопередач;</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В случае реализации программы основного общего образования,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xml:space="preserve">Функционирование электронной информационно-образовательной среды соответствует законодательству Российской Федерации.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Характеристика (компоненты) информационно-образовательной среды: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1. 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3. Фонд дополнительной литературы художественной и научно-популярной, справочно-библиографических, периодических изданий,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специальных изданий для обучающихся с ОВЗ</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4. Учебно-наглядные пособия (средства обучения):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натурный фонд (натуральные природные объекты, коллекции промышленных материалов, наборы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для экспериментов, коллекции народных промыслов и др.);</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модели разных видов;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экранно-звуковые (аудиокниги, фонохрестоматии, видеофильмы),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мультимедийные средства (электронные приложения к учебникам, аудиозаписи, видеофильмы, электронные </w:t>
      </w:r>
      <w:proofErr w:type="spellStart"/>
      <w:r w:rsidRPr="00573DA9">
        <w:rPr>
          <w:rFonts w:ascii="Times New Roman" w:hAnsi="Times New Roman" w:cs="Times New Roman"/>
          <w:sz w:val="24"/>
          <w:szCs w:val="24"/>
        </w:rPr>
        <w:t>медиалекции</w:t>
      </w:r>
      <w:proofErr w:type="spellEnd"/>
      <w:r w:rsidRPr="00573DA9">
        <w:rPr>
          <w:rFonts w:ascii="Times New Roman" w:hAnsi="Times New Roman" w:cs="Times New Roman"/>
          <w:sz w:val="24"/>
          <w:szCs w:val="24"/>
        </w:rPr>
        <w:t>, тренажеры, и др.)</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5. Информационно-образовательные ресурсы Интернета (обеспечен доступ для всех участников образовательного процесса)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6. Информационно-телекоммуникационная инфраструктура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7. Технические средства, обеспечивающие функционирование информационно-образовательной среды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8. Программные инструменты, обеспечивающие функционирование информационно-образовательной среды</w:t>
      </w:r>
    </w:p>
    <w:p w:rsidR="00573DA9" w:rsidRPr="00573DA9" w:rsidRDefault="00573DA9" w:rsidP="00573DA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9. Служба технической поддержки функционирования информационно-образовательной среды</w:t>
      </w:r>
    </w:p>
    <w:p w:rsidR="00573DA9" w:rsidRPr="00573DA9" w:rsidRDefault="00573DA9" w:rsidP="00573DA9">
      <w:pPr>
        <w:spacing w:after="0"/>
        <w:ind w:left="-709" w:firstLine="709"/>
        <w:rPr>
          <w:rFonts w:ascii="Times New Roman" w:hAnsi="Times New Roman" w:cs="Times New Roman"/>
          <w:b/>
          <w:i/>
          <w:sz w:val="24"/>
          <w:szCs w:val="24"/>
        </w:rPr>
      </w:pPr>
      <w:r w:rsidRPr="00573DA9">
        <w:rPr>
          <w:rFonts w:ascii="Times New Roman" w:hAnsi="Times New Roman" w:cs="Times New Roman"/>
          <w:sz w:val="24"/>
          <w:szCs w:val="24"/>
        </w:rPr>
        <w:t>Условия для функционирования информационно-образовательной среды могут быть созданы с использованием ресурсов иных организаций.</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b/>
          <w:i/>
          <w:sz w:val="24"/>
          <w:szCs w:val="24"/>
        </w:rPr>
        <w:lastRenderedPageBreak/>
        <w:t>Материально-технические условия реализации Программы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Материально-технические условия реализации основной образовательной программы основного общего образования обеспечивают: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возможность достижения обучающимися результатов освоения основной образовательной программы основного общего образования;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безопасность и комфортность организации учебного процесса;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возможность для беспрепятственного доступа всех участников образовательного процесса,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обучающихся с ОВЗ, к объектам инфраструктуры организации, осуществляющей образовательную деятельность.</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В зональную структуру образовательной организации включены: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участки (территории) с целесообразным набором оснащенных зон;</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входная зона;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учебные кабинеты, мастерские, студии для организации учебного процесса;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лаборантские помещения;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библиотека с рабочими зонами: книгохранилищем, </w:t>
      </w:r>
      <w:proofErr w:type="spellStart"/>
      <w:r w:rsidRPr="00573DA9">
        <w:rPr>
          <w:rFonts w:ascii="Times New Roman" w:hAnsi="Times New Roman" w:cs="Times New Roman"/>
          <w:sz w:val="24"/>
          <w:szCs w:val="24"/>
        </w:rPr>
        <w:t>медиатекой</w:t>
      </w:r>
      <w:proofErr w:type="spellEnd"/>
      <w:r w:rsidRPr="00573DA9">
        <w:rPr>
          <w:rFonts w:ascii="Times New Roman" w:hAnsi="Times New Roman" w:cs="Times New Roman"/>
          <w:sz w:val="24"/>
          <w:szCs w:val="24"/>
        </w:rPr>
        <w:t>, читальным залом;</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актовый зал;</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спортивные сооружения (зал, бассейн, стадион, спортивная площадка);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пищевой блок;</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административные помещения;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гардеробы; </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санитарный узел;</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помещения/ место для хранения уборочного инвентаря.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i/>
          <w:sz w:val="24"/>
          <w:szCs w:val="24"/>
        </w:rPr>
        <w:t>Состав и площади помещений предоставляют условия для: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основного общего образования согласно избранным направлениям учебного плана в соответствии с ФГОС ООО;</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организации режима труда и отдыха участников образовательного процесса;</w:t>
      </w:r>
    </w:p>
    <w:p w:rsidR="00573DA9" w:rsidRPr="00573DA9" w:rsidRDefault="00573DA9" w:rsidP="00D06579">
      <w:pPr>
        <w:spacing w:after="0"/>
        <w:ind w:left="-709" w:firstLine="709"/>
        <w:jc w:val="both"/>
        <w:rPr>
          <w:rFonts w:ascii="Times New Roman" w:hAnsi="Times New Roman" w:cs="Times New Roman"/>
          <w:i/>
          <w:sz w:val="24"/>
          <w:szCs w:val="24"/>
        </w:rPr>
      </w:pPr>
      <w:r w:rsidRPr="00573DA9">
        <w:rPr>
          <w:rFonts w:ascii="Times New Roman" w:hAnsi="Times New Roman" w:cs="Times New Roman"/>
          <w:sz w:val="24"/>
          <w:szCs w:val="24"/>
        </w:rPr>
        <w:t xml:space="preserve">- размещения в кабинетах, мастерских, студиях необходимых комплектов мебели,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i/>
          <w:sz w:val="24"/>
          <w:szCs w:val="24"/>
        </w:rPr>
        <w:t xml:space="preserve">В состав учебных кабинетов (мастерских, студий) входят: </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русского языка;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литературы;</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родного языка;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родной литературы;</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иностранного языка;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лингафонный класс;</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истории;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обществознания;</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географии;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(и/ или студия) изобразительного искусства;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мировой художественной культуры;</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(и/или студия) музыки;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физики;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lastRenderedPageBreak/>
        <w:t>- учебный кабинет химии;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биологии и экологии;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математики;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информатики;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учебный кабинет (мастерская) технологии;</w:t>
      </w:r>
    </w:p>
    <w:p w:rsidR="00573DA9" w:rsidRPr="00573DA9" w:rsidRDefault="00573DA9" w:rsidP="00D06579">
      <w:pPr>
        <w:spacing w:after="0"/>
        <w:ind w:left="-709" w:firstLine="709"/>
        <w:rPr>
          <w:rFonts w:ascii="Times New Roman" w:hAnsi="Times New Roman" w:cs="Times New Roman"/>
          <w:i/>
          <w:sz w:val="24"/>
          <w:szCs w:val="24"/>
        </w:rPr>
      </w:pPr>
      <w:r w:rsidRPr="00573DA9">
        <w:rPr>
          <w:rFonts w:ascii="Times New Roman" w:hAnsi="Times New Roman" w:cs="Times New Roman"/>
          <w:sz w:val="24"/>
          <w:szCs w:val="24"/>
        </w:rPr>
        <w:t>- учебный кабинет основ безопасности жизнедеятельности.</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i/>
          <w:sz w:val="24"/>
          <w:szCs w:val="24"/>
        </w:rPr>
        <w:t>Учебные кабинеты включают следующие зоны</w:t>
      </w:r>
      <w:r w:rsidRPr="00573DA9">
        <w:rPr>
          <w:rFonts w:ascii="Times New Roman" w:hAnsi="Times New Roman" w:cs="Times New Roman"/>
          <w:sz w:val="24"/>
          <w:szCs w:val="24"/>
        </w:rPr>
        <w:t>:</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рабочее место учителя с пространством для размещения часто используемого оснащения;</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рабочую зону учащихся с местом для размещения личных вещей;</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пространство для размещения и хранения учебного оборудования;</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демонстрационную зону.</w:t>
      </w:r>
    </w:p>
    <w:p w:rsidR="00573DA9" w:rsidRPr="00573DA9" w:rsidRDefault="00573DA9" w:rsidP="00D06579">
      <w:pPr>
        <w:spacing w:after="0"/>
        <w:ind w:left="-709" w:firstLine="709"/>
        <w:rPr>
          <w:rFonts w:ascii="Times New Roman" w:hAnsi="Times New Roman" w:cs="Times New Roman"/>
          <w:i/>
          <w:sz w:val="24"/>
          <w:szCs w:val="24"/>
        </w:rPr>
      </w:pPr>
      <w:r w:rsidRPr="00573DA9">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i/>
          <w:sz w:val="24"/>
          <w:szCs w:val="24"/>
        </w:rPr>
        <w:t>Компонентами оснащения учебного кабинета являются:</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школьная мебель;</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технические средства;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лабораторно-технологическое оборудование;</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фонд дополнительной литературы;</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учебно-наглядные пособия;</w:t>
      </w:r>
    </w:p>
    <w:p w:rsidR="00573DA9" w:rsidRPr="00573DA9" w:rsidRDefault="00573DA9" w:rsidP="00D06579">
      <w:pPr>
        <w:spacing w:after="0"/>
        <w:ind w:left="-709" w:firstLine="709"/>
        <w:rPr>
          <w:rFonts w:ascii="Times New Roman" w:hAnsi="Times New Roman" w:cs="Times New Roman"/>
          <w:i/>
          <w:sz w:val="24"/>
          <w:szCs w:val="24"/>
        </w:rPr>
      </w:pPr>
      <w:r w:rsidRPr="00573DA9">
        <w:rPr>
          <w:rFonts w:ascii="Times New Roman" w:hAnsi="Times New Roman" w:cs="Times New Roman"/>
          <w:sz w:val="24"/>
          <w:szCs w:val="24"/>
        </w:rPr>
        <w:t>- учебно-методические материалы.</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i/>
          <w:sz w:val="24"/>
          <w:szCs w:val="24"/>
        </w:rPr>
        <w:t>В базовый комплект мебели входят:</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доска классная;</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стол учителя;</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xml:space="preserve">- стул учителя (приставной); </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xml:space="preserve">- кресло для учителя; </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xml:space="preserve">- стол ученический (регулируемый по высоте); </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стул ученический (регулируемый по высоте);</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шкаф для хранения учебных пособий; 6</w:t>
      </w:r>
      <w:r w:rsidRPr="00573DA9">
        <w:rPr>
          <w:rFonts w:ascii="Times New Roman" w:hAnsi="Times New Roman" w:cs="Times New Roman"/>
          <w:sz w:val="24"/>
          <w:szCs w:val="24"/>
          <w:vertAlign w:val="subscript"/>
        </w:rPr>
        <w:t xml:space="preserve"> </w:t>
      </w:r>
      <w:r w:rsidRPr="00573DA9">
        <w:rPr>
          <w:rFonts w:ascii="Times New Roman" w:hAnsi="Times New Roman" w:cs="Times New Roman"/>
          <w:sz w:val="24"/>
          <w:szCs w:val="24"/>
        </w:rPr>
        <w:t>стеллаж демонстрационный.</w:t>
      </w:r>
    </w:p>
    <w:p w:rsidR="00573DA9" w:rsidRPr="00573DA9" w:rsidRDefault="00573DA9" w:rsidP="00D06579">
      <w:pPr>
        <w:spacing w:after="0"/>
        <w:ind w:left="-709" w:firstLine="709"/>
        <w:rPr>
          <w:rFonts w:ascii="Times New Roman" w:hAnsi="Times New Roman" w:cs="Times New Roman"/>
          <w:i/>
          <w:sz w:val="24"/>
          <w:szCs w:val="24"/>
        </w:rPr>
      </w:pPr>
      <w:r w:rsidRPr="00573DA9">
        <w:rPr>
          <w:rFonts w:ascii="Times New Roman" w:hAnsi="Times New Roman" w:cs="Times New Roman"/>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i/>
          <w:sz w:val="24"/>
          <w:szCs w:val="24"/>
        </w:rPr>
        <w:t>В базовый комплект технических средств входят:</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компьютер/ноутбук с периферией;</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многофункциональное устройство (МФУ) или принтер, сканер, ксерокс;</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сетевой фильтр;</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документ-камера.</w:t>
      </w:r>
    </w:p>
    <w:p w:rsidR="00573DA9" w:rsidRPr="00573DA9" w:rsidRDefault="00573DA9" w:rsidP="00D0657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573DA9" w:rsidRPr="00573DA9" w:rsidRDefault="00573DA9" w:rsidP="00573DA9">
      <w:pPr>
        <w:spacing w:after="0"/>
        <w:ind w:left="-709" w:firstLine="709"/>
        <w:rPr>
          <w:rFonts w:ascii="Times New Roman" w:hAnsi="Times New Roman" w:cs="Times New Roman"/>
          <w:i/>
          <w:sz w:val="24"/>
          <w:szCs w:val="24"/>
        </w:rPr>
      </w:pPr>
      <w:r w:rsidRPr="00573DA9">
        <w:rPr>
          <w:rFonts w:ascii="Times New Roman" w:hAnsi="Times New Roman" w:cs="Times New Roman"/>
          <w:i/>
          <w:sz w:val="24"/>
          <w:szCs w:val="24"/>
        </w:rPr>
        <w:t>Спортивный зал,</w:t>
      </w:r>
      <w:r w:rsidRPr="00573DA9">
        <w:rPr>
          <w:rFonts w:ascii="Times New Roman" w:hAnsi="Times New Roman" w:cs="Times New Roman"/>
          <w:sz w:val="24"/>
          <w:szCs w:val="24"/>
        </w:rPr>
        <w:t xml:space="preserve">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rsidR="00573DA9" w:rsidRPr="00573DA9" w:rsidRDefault="00573DA9" w:rsidP="00573DA9">
      <w:pPr>
        <w:spacing w:after="0"/>
        <w:ind w:left="-709" w:firstLine="709"/>
        <w:rPr>
          <w:rFonts w:ascii="Times New Roman" w:hAnsi="Times New Roman" w:cs="Times New Roman"/>
          <w:sz w:val="24"/>
          <w:szCs w:val="24"/>
        </w:rPr>
      </w:pPr>
      <w:r w:rsidRPr="00573DA9">
        <w:rPr>
          <w:rFonts w:ascii="Times New Roman" w:hAnsi="Times New Roman" w:cs="Times New Roman"/>
          <w:i/>
          <w:sz w:val="24"/>
          <w:szCs w:val="24"/>
        </w:rPr>
        <w:t>Библиотека (информационно-библиотечный центр образовательной организации) включает:</w:t>
      </w:r>
    </w:p>
    <w:p w:rsidR="00573DA9" w:rsidRPr="00573DA9" w:rsidRDefault="00573DA9" w:rsidP="00573DA9">
      <w:pPr>
        <w:spacing w:after="0"/>
        <w:ind w:left="-709" w:firstLine="709"/>
        <w:rPr>
          <w:rFonts w:ascii="Times New Roman" w:hAnsi="Times New Roman" w:cs="Times New Roman"/>
          <w:sz w:val="24"/>
          <w:szCs w:val="24"/>
        </w:rPr>
      </w:pPr>
      <w:r w:rsidRPr="00573DA9">
        <w:rPr>
          <w:rFonts w:ascii="Times New Roman" w:hAnsi="Times New Roman" w:cs="Times New Roman"/>
          <w:sz w:val="24"/>
          <w:szCs w:val="24"/>
        </w:rPr>
        <w:lastRenderedPageBreak/>
        <w:t>- стол библиотекаря, кресло библиотекаря;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стеллажи библиотечные для хранения и демонстрации печатных и </w:t>
      </w:r>
      <w:proofErr w:type="spellStart"/>
      <w:r w:rsidRPr="00573DA9">
        <w:rPr>
          <w:rFonts w:ascii="Times New Roman" w:hAnsi="Times New Roman" w:cs="Times New Roman"/>
          <w:sz w:val="24"/>
          <w:szCs w:val="24"/>
        </w:rPr>
        <w:t>медиапособий</w:t>
      </w:r>
      <w:proofErr w:type="spellEnd"/>
      <w:r w:rsidRPr="00573DA9">
        <w:rPr>
          <w:rFonts w:ascii="Times New Roman" w:hAnsi="Times New Roman" w:cs="Times New Roman"/>
          <w:sz w:val="24"/>
          <w:szCs w:val="24"/>
        </w:rPr>
        <w:t xml:space="preserve">, </w:t>
      </w:r>
      <w:bookmarkStart w:id="0" w:name="_GoBack"/>
      <w:r w:rsidRPr="00573DA9">
        <w:rPr>
          <w:rFonts w:ascii="Times New Roman" w:hAnsi="Times New Roman" w:cs="Times New Roman"/>
          <w:sz w:val="24"/>
          <w:szCs w:val="24"/>
        </w:rPr>
        <w:t>художественной литературы;</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стол для выдачи учебных изданий;</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шкаф для читательских формуляров;</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картотеку;</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xml:space="preserve">- столы ученические (для читального зала, в </w:t>
      </w:r>
      <w:proofErr w:type="spellStart"/>
      <w:r w:rsidRPr="00573DA9">
        <w:rPr>
          <w:rFonts w:ascii="Times New Roman" w:hAnsi="Times New Roman" w:cs="Times New Roman"/>
          <w:sz w:val="24"/>
          <w:szCs w:val="24"/>
        </w:rPr>
        <w:t>т.ч</w:t>
      </w:r>
      <w:proofErr w:type="spellEnd"/>
      <w:r w:rsidRPr="00573DA9">
        <w:rPr>
          <w:rFonts w:ascii="Times New Roman" w:hAnsi="Times New Roman" w:cs="Times New Roman"/>
          <w:sz w:val="24"/>
          <w:szCs w:val="24"/>
        </w:rPr>
        <w:t>. модульные, компьютерные);</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стулья ученические, регулируемые по высоте;</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кресла для чтения;</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 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573DA9" w:rsidRPr="00573DA9" w:rsidRDefault="00573DA9" w:rsidP="00D06579">
      <w:pPr>
        <w:spacing w:after="0"/>
        <w:ind w:left="-709" w:firstLine="709"/>
        <w:jc w:val="both"/>
        <w:rPr>
          <w:rFonts w:ascii="Times New Roman" w:hAnsi="Times New Roman" w:cs="Times New Roman"/>
          <w:sz w:val="24"/>
          <w:szCs w:val="24"/>
        </w:rPr>
      </w:pPr>
      <w:r w:rsidRPr="00573DA9">
        <w:rPr>
          <w:rFonts w:ascii="Times New Roman" w:hAnsi="Times New Roman" w:cs="Times New Roman"/>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8E439A" w:rsidRDefault="008E439A" w:rsidP="00D06579">
      <w:pPr>
        <w:pStyle w:val="a7"/>
        <w:ind w:left="-142" w:firstLine="709"/>
        <w:jc w:val="both"/>
        <w:rPr>
          <w:rFonts w:ascii="Times New Roman" w:hAnsi="Times New Roman" w:cs="Times New Roman"/>
          <w:sz w:val="24"/>
          <w:szCs w:val="24"/>
        </w:rPr>
      </w:pPr>
    </w:p>
    <w:bookmarkEnd w:id="0"/>
    <w:p w:rsidR="00EB2F6D" w:rsidRPr="0024456A" w:rsidRDefault="00EB2F6D" w:rsidP="008E439A">
      <w:pPr>
        <w:pStyle w:val="a7"/>
        <w:ind w:left="-142" w:firstLine="709"/>
        <w:jc w:val="both"/>
        <w:rPr>
          <w:rFonts w:ascii="Times New Roman" w:hAnsi="Times New Roman" w:cs="Times New Roman"/>
          <w:sz w:val="24"/>
          <w:szCs w:val="24"/>
        </w:rPr>
      </w:pPr>
    </w:p>
    <w:sectPr w:rsidR="00EB2F6D" w:rsidRPr="00244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EC"/>
    <w:rsid w:val="000A60FA"/>
    <w:rsid w:val="0024456A"/>
    <w:rsid w:val="00296438"/>
    <w:rsid w:val="00573DA9"/>
    <w:rsid w:val="005A0FEC"/>
    <w:rsid w:val="008E439A"/>
    <w:rsid w:val="00D06579"/>
    <w:rsid w:val="00D504EC"/>
    <w:rsid w:val="00EA0D2C"/>
    <w:rsid w:val="00EB2F6D"/>
    <w:rsid w:val="00F8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9DF"/>
  <w15:chartTrackingRefBased/>
  <w15:docId w15:val="{A8717082-2E9B-47FB-95F5-26CC90DA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504EC"/>
    <w:pPr>
      <w:widowControl w:val="0"/>
      <w:autoSpaceDE w:val="0"/>
      <w:autoSpaceDN w:val="0"/>
      <w:spacing w:before="71" w:after="0" w:line="240" w:lineRule="auto"/>
      <w:ind w:left="158"/>
      <w:outlineLvl w:val="0"/>
    </w:pPr>
    <w:rPr>
      <w:rFonts w:ascii="Tahoma" w:eastAsia="Tahoma" w:hAnsi="Tahoma" w:cs="Tahoma"/>
      <w:b/>
      <w:bCs/>
      <w:sz w:val="24"/>
      <w:szCs w:val="24"/>
      <w:lang w:eastAsia="ru-RU"/>
    </w:rPr>
  </w:style>
  <w:style w:type="paragraph" w:styleId="2">
    <w:name w:val="heading 2"/>
    <w:basedOn w:val="a"/>
    <w:next w:val="a"/>
    <w:link w:val="20"/>
    <w:uiPriority w:val="9"/>
    <w:semiHidden/>
    <w:unhideWhenUsed/>
    <w:qFormat/>
    <w:rsid w:val="00D504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504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504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04EC"/>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1"/>
    <w:rsid w:val="00D504E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1"/>
    <w:rsid w:val="00D504EC"/>
    <w:rPr>
      <w:rFonts w:ascii="Tahoma" w:eastAsia="Tahoma" w:hAnsi="Tahoma" w:cs="Tahoma"/>
      <w:b/>
      <w:bCs/>
      <w:sz w:val="24"/>
      <w:szCs w:val="24"/>
      <w:lang w:eastAsia="ru-RU"/>
    </w:rPr>
  </w:style>
  <w:style w:type="paragraph" w:styleId="a5">
    <w:name w:val="No Spacing"/>
    <w:uiPriority w:val="1"/>
    <w:qFormat/>
    <w:rsid w:val="00D504EC"/>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TableParagraph">
    <w:name w:val="Table Paragraph"/>
    <w:basedOn w:val="a"/>
    <w:uiPriority w:val="1"/>
    <w:qFormat/>
    <w:rsid w:val="00D504EC"/>
    <w:pPr>
      <w:widowControl w:val="0"/>
      <w:autoSpaceDE w:val="0"/>
      <w:autoSpaceDN w:val="0"/>
      <w:spacing w:after="0" w:line="240" w:lineRule="auto"/>
    </w:pPr>
    <w:rPr>
      <w:rFonts w:ascii="Times New Roman" w:eastAsia="Times New Roman" w:hAnsi="Times New Roman" w:cs="Times New Roman"/>
      <w:lang w:eastAsia="ru-RU"/>
    </w:rPr>
  </w:style>
  <w:style w:type="table" w:styleId="a6">
    <w:name w:val="Table Grid"/>
    <w:basedOn w:val="a1"/>
    <w:uiPriority w:val="59"/>
    <w:rsid w:val="00D504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504E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504E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504EC"/>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D504E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styleId="a7">
    <w:name w:val="List Paragraph"/>
    <w:basedOn w:val="a"/>
    <w:uiPriority w:val="34"/>
    <w:qFormat/>
    <w:rsid w:val="00EA0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1281">
      <w:bodyDiv w:val="1"/>
      <w:marLeft w:val="0"/>
      <w:marRight w:val="0"/>
      <w:marTop w:val="0"/>
      <w:marBottom w:val="0"/>
      <w:divBdr>
        <w:top w:val="none" w:sz="0" w:space="0" w:color="auto"/>
        <w:left w:val="none" w:sz="0" w:space="0" w:color="auto"/>
        <w:bottom w:val="none" w:sz="0" w:space="0" w:color="auto"/>
        <w:right w:val="none" w:sz="0" w:space="0" w:color="auto"/>
      </w:divBdr>
    </w:div>
    <w:div w:id="7272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13</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2023-11-13T04:07:00Z</dcterms:created>
  <dcterms:modified xsi:type="dcterms:W3CDTF">2023-11-15T07:40:00Z</dcterms:modified>
</cp:coreProperties>
</file>